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/>
          <w:sz w:val="36"/>
          <w:szCs w:val="36"/>
        </w:rPr>
        <w:id w:val="147459289"/>
        <w:docPartObj>
          <w:docPartGallery w:val="Table of Contents"/>
          <w:docPartUnique/>
        </w:docPartObj>
      </w:sdtPr>
      <w:sdtEndPr>
        <w:rPr>
          <w:rFonts w:ascii="宋体" w:hAnsi="宋体" w:eastAsia="宋体"/>
          <w:b/>
          <w:bCs/>
          <w:sz w:val="20"/>
          <w:szCs w:val="20"/>
        </w:rPr>
      </w:sdtEndPr>
      <w:sdtContent>
        <w:p>
          <w:pPr>
            <w:jc w:val="center"/>
            <w:rPr>
              <w:sz w:val="36"/>
              <w:szCs w:val="36"/>
            </w:rPr>
          </w:pPr>
          <w:bookmarkStart w:id="0" w:name="_Toc7553_WPSOffice_Type2"/>
          <w:r>
            <w:rPr>
              <w:rFonts w:ascii="宋体" w:hAnsi="宋体" w:eastAsia="宋体"/>
              <w:b/>
              <w:bCs/>
              <w:sz w:val="36"/>
              <w:szCs w:val="36"/>
            </w:rPr>
            <w:t>目录</w:t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"_Toc20530_WPSOffice_Level1"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一、产品简介</w:t>
          </w:r>
          <w:r>
            <w:rPr>
              <w:b/>
              <w:bCs/>
            </w:rPr>
            <w:tab/>
          </w:r>
          <w:bookmarkStart w:id="1" w:name="_Toc20530_WPSOffice_Level1Page"/>
          <w:r>
            <w:rPr>
              <w:b/>
              <w:bCs/>
            </w:rPr>
            <w:t>2</w:t>
          </w:r>
          <w:bookmarkEnd w:id="1"/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"_Toc7553_WPSOffice_Level2"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概述</w:t>
          </w:r>
          <w:r>
            <w:rPr>
              <w:sz w:val="18"/>
              <w:szCs w:val="18"/>
            </w:rPr>
            <w:tab/>
          </w:r>
          <w:bookmarkStart w:id="2" w:name="_Toc7553_WPSOffice_Level2Page"/>
          <w:r>
            <w:rPr>
              <w:sz w:val="18"/>
              <w:szCs w:val="18"/>
            </w:rPr>
            <w:t>2</w:t>
          </w:r>
          <w:bookmarkEnd w:id="2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"_Toc20530_WPSOffice_Level2"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特点</w:t>
          </w:r>
          <w:r>
            <w:rPr>
              <w:sz w:val="18"/>
              <w:szCs w:val="18"/>
            </w:rPr>
            <w:tab/>
          </w:r>
          <w:bookmarkStart w:id="3" w:name="_Toc20530_WPSOffice_Level2Page"/>
          <w:r>
            <w:rPr>
              <w:sz w:val="18"/>
              <w:szCs w:val="18"/>
            </w:rPr>
            <w:t>2</w:t>
          </w:r>
          <w:bookmarkEnd w:id="3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"_Toc28424_WPSOffice_Level2" </w:instrText>
          </w:r>
          <w:r>
            <w:fldChar w:fldCharType="separate"/>
          </w:r>
          <w:r>
            <w:rPr>
              <w:sz w:val="18"/>
              <w:szCs w:val="18"/>
            </w:rPr>
            <w:t xml:space="preserve">3.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应用领域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"_Toc28424_WPSOffice_Level1"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二、电气、机械和环境指标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2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"_Toc11578_WPSOffice_Level2"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电气指标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"_Toc9268_WPSOffice_Level2"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使用环境及参数</w:t>
          </w:r>
          <w:r>
            <w:rPr>
              <w:sz w:val="18"/>
              <w:szCs w:val="18"/>
            </w:rPr>
            <w:tab/>
          </w:r>
          <w:bookmarkStart w:id="4" w:name="_Toc9268_WPSOffice_Level2Page"/>
          <w:r>
            <w:rPr>
              <w:sz w:val="18"/>
              <w:szCs w:val="18"/>
            </w:rPr>
            <w:t>3</w:t>
          </w:r>
          <w:bookmarkEnd w:id="4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"_Toc25986_WPSOffice_Level2"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机械安装图</w:t>
          </w:r>
          <w:r>
            <w:rPr>
              <w:sz w:val="18"/>
              <w:szCs w:val="18"/>
            </w:rPr>
            <w:tab/>
          </w:r>
          <w:bookmarkStart w:id="5" w:name="_Toc25986_WPSOffice_Level2Page"/>
          <w:r>
            <w:rPr>
              <w:sz w:val="18"/>
              <w:szCs w:val="18"/>
            </w:rPr>
            <w:t>3</w:t>
          </w:r>
          <w:bookmarkEnd w:id="5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"_Toc15897_WPSOffice_Level2"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4. 加强散热方式</w:t>
          </w:r>
          <w:r>
            <w:rPr>
              <w:sz w:val="18"/>
              <w:szCs w:val="18"/>
            </w:rPr>
            <w:tab/>
          </w:r>
          <w:bookmarkStart w:id="6" w:name="_Toc15897_WPSOffice_Level2Page"/>
          <w:r>
            <w:rPr>
              <w:sz w:val="18"/>
              <w:szCs w:val="18"/>
            </w:rPr>
            <w:t>4</w:t>
          </w:r>
          <w:bookmarkEnd w:id="6"/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"_Toc11578_WPSOffice_Level1"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三、驱动器接口和接线介绍</w:t>
          </w:r>
          <w:r>
            <w:rPr>
              <w:b/>
              <w:bCs/>
            </w:rPr>
            <w:tab/>
          </w:r>
          <w:bookmarkStart w:id="7" w:name="_Toc11578_WPSOffice_Level1Page"/>
          <w:r>
            <w:rPr>
              <w:b/>
              <w:bCs/>
            </w:rPr>
            <w:t>4</w:t>
          </w:r>
          <w:bookmarkEnd w:id="7"/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"_Toc28989_WPSOffice_Level2"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1.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接口描述</w:t>
          </w:r>
          <w:r>
            <w:rPr>
              <w:sz w:val="18"/>
              <w:szCs w:val="18"/>
            </w:rPr>
            <w:tab/>
          </w:r>
          <w:bookmarkStart w:id="8" w:name="_Toc28989_WPSOffice_Level2Page"/>
          <w:r>
            <w:rPr>
              <w:sz w:val="18"/>
              <w:szCs w:val="18"/>
            </w:rPr>
            <w:t>4</w:t>
          </w:r>
          <w:bookmarkEnd w:id="8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"_Toc10690_WPSOffice_Level2"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控制信号接口电路</w:t>
          </w:r>
          <w:r>
            <w:rPr>
              <w:sz w:val="18"/>
              <w:szCs w:val="18"/>
            </w:rPr>
            <w:tab/>
          </w:r>
          <w:bookmarkStart w:id="9" w:name="_Toc10690_WPSOffice_Level2Page"/>
          <w:r>
            <w:rPr>
              <w:sz w:val="18"/>
              <w:szCs w:val="18"/>
            </w:rPr>
            <w:t>6</w:t>
          </w:r>
          <w:bookmarkEnd w:id="9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"_Toc12369_WPSOffice_Level2"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控制信号时序图</w:t>
          </w:r>
          <w:r>
            <w:rPr>
              <w:sz w:val="18"/>
              <w:szCs w:val="18"/>
            </w:rPr>
            <w:tab/>
          </w:r>
          <w:bookmarkStart w:id="10" w:name="_Toc12369_WPSOffice_Level2Page"/>
          <w:r>
            <w:rPr>
              <w:sz w:val="18"/>
              <w:szCs w:val="18"/>
            </w:rPr>
            <w:t>7</w:t>
          </w:r>
          <w:bookmarkEnd w:id="10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"_Toc23163_WPSOffice_Level2"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4.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控制信号模式设置</w:t>
          </w:r>
          <w:r>
            <w:rPr>
              <w:sz w:val="18"/>
              <w:szCs w:val="18"/>
            </w:rPr>
            <w:tab/>
          </w:r>
          <w:bookmarkStart w:id="11" w:name="_Toc23163_WPSOffice_Level2Page"/>
          <w:r>
            <w:rPr>
              <w:sz w:val="18"/>
              <w:szCs w:val="18"/>
            </w:rPr>
            <w:t>7</w:t>
          </w:r>
          <w:bookmarkEnd w:id="11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"_Toc30698_WPSOffice_Level2"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5.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接线要求</w:t>
          </w:r>
          <w:r>
            <w:rPr>
              <w:sz w:val="18"/>
              <w:szCs w:val="18"/>
            </w:rPr>
            <w:tab/>
          </w:r>
          <w:bookmarkStart w:id="12" w:name="_Toc30698_WPSOffice_Level2Page"/>
          <w:r>
            <w:rPr>
              <w:sz w:val="18"/>
              <w:szCs w:val="18"/>
            </w:rPr>
            <w:t>7</w:t>
          </w:r>
          <w:bookmarkEnd w:id="12"/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"_Toc9268_WPSOffice_Level1"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四、拨码开关</w:t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功能</w:t>
          </w:r>
          <w:r>
            <w:rPr>
              <w:rFonts w:hint="eastAsia" w:ascii="微软雅黑" w:hAnsi="微软雅黑" w:eastAsia="微软雅黑" w:cs="微软雅黑"/>
              <w:b/>
              <w:bCs/>
            </w:rPr>
            <w:t>设定</w:t>
          </w:r>
          <w:r>
            <w:rPr>
              <w:b/>
              <w:bCs/>
            </w:rPr>
            <w:tab/>
          </w:r>
          <w:bookmarkStart w:id="13" w:name="_Toc9268_WPSOffice_Level1Page"/>
          <w:r>
            <w:rPr>
              <w:b/>
              <w:bCs/>
            </w:rPr>
            <w:t>8</w:t>
          </w:r>
          <w:bookmarkEnd w:id="13"/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功能设置</w:t>
          </w:r>
          <w:r>
            <w:rPr>
              <w:sz w:val="18"/>
              <w:szCs w:val="18"/>
            </w:rPr>
            <w:tab/>
          </w:r>
          <w:bookmarkStart w:id="14" w:name="_Toc2953_WPSOffice_Level2Page"/>
          <w:r>
            <w:rPr>
              <w:sz w:val="18"/>
              <w:szCs w:val="18"/>
            </w:rPr>
            <w:t>8</w:t>
          </w:r>
          <w:bookmarkEnd w:id="14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"_Toc3544_WPSOffice_Level2"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细分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bookmarkStart w:id="15" w:name="_Toc3544_WPSOffice_Level2Page"/>
          <w:r>
            <w:rPr>
              <w:sz w:val="18"/>
              <w:szCs w:val="18"/>
            </w:rPr>
            <w:t>8</w:t>
          </w:r>
          <w:bookmarkEnd w:id="15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"_Toc3218_WPSOffice_Level2"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工作模式设置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9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"_Toc25986_WPSOffice_Level1"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五、供电电源选择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9</w:t>
          </w:r>
          <w:r>
            <w:rPr>
              <w:b/>
              <w:bCs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"_Toc28989_WPSOffice_Level1"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六</w:t>
          </w:r>
          <w:r>
            <w:rPr>
              <w:rFonts w:hint="eastAsia" w:ascii="微软雅黑" w:hAnsi="微软雅黑" w:eastAsia="微软雅黑" w:cs="微软雅黑"/>
              <w:b/>
              <w:bCs/>
            </w:rPr>
            <w:t>、保护功能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9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"_Toc20685_WPSOffice_Level2"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短路保护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9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2.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过压保护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9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numPr>
              <w:ilvl w:val="0"/>
              <w:numId w:val="1"/>
            </w:numPr>
            <w:tabs>
              <w:tab w:val="right" w:leader="dot" w:pos="9638"/>
            </w:tabs>
            <w:ind w:left="420"/>
            <w:rPr>
              <w:rFonts w:hint="default" w:ascii="微软雅黑" w:hAnsi="微软雅黑" w:eastAsia="微软雅黑" w:cs="微软雅黑"/>
              <w:sz w:val="18"/>
              <w:szCs w:val="18"/>
              <w:lang w:val="en-US" w:eastAsia="zh-CN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欠压保护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9</w:t>
          </w:r>
        </w:p>
        <w:p>
          <w:pPr>
            <w:pStyle w:val="10"/>
            <w:numPr>
              <w:ilvl w:val="0"/>
              <w:numId w:val="1"/>
            </w:numPr>
            <w:tabs>
              <w:tab w:val="right" w:leader="dot" w:pos="9638"/>
            </w:tabs>
            <w:ind w:left="420"/>
          </w:pP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缺相保护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9</w:t>
          </w:r>
        </w:p>
        <w:p>
          <w:pPr>
            <w:pStyle w:val="10"/>
            <w:numPr>
              <w:ilvl w:val="0"/>
              <w:numId w:val="1"/>
            </w:numPr>
            <w:tabs>
              <w:tab w:val="right" w:leader="dot" w:pos="9638"/>
            </w:tabs>
            <w:ind w:left="420"/>
          </w:pPr>
          <w:r>
            <w:rPr>
              <w:rFonts w:hint="eastAsia" w:eastAsia="微软雅黑"/>
              <w:sz w:val="18"/>
              <w:szCs w:val="18"/>
              <w:lang w:eastAsia="zh-CN"/>
            </w:rPr>
            <w:t>超差报警信号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9</w:t>
          </w:r>
        </w:p>
      </w:sdtContent>
    </w:sdt>
    <w:bookmarkEnd w:id="0"/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16" w:name="_Toc29222_WPSOffice_Level1"/>
      <w:bookmarkStart w:id="17" w:name="_Toc14787_WPSOffice_Level1"/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bookmarkEnd w:id="16"/>
    <w:bookmarkEnd w:id="17"/>
    <w:p>
      <w:pPr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18" w:name="_Toc25850_WPSOffice_Level1"/>
      <w:bookmarkStart w:id="19" w:name="_Toc7553_WPSOffice_Level1"/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HS86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数字式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混合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步进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伺服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驱动器</w:t>
      </w:r>
      <w:bookmarkEnd w:id="18"/>
      <w:bookmarkEnd w:id="19"/>
    </w:p>
    <w:p>
      <w:pPr>
        <w:numPr>
          <w:ilvl w:val="0"/>
          <w:numId w:val="2"/>
        </w:numPr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0" w:name="_Toc20530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产品简介</w:t>
      </w:r>
      <w:bookmarkEnd w:id="20"/>
    </w:p>
    <w:p>
      <w:pPr>
        <w:numPr>
          <w:ilvl w:val="0"/>
          <w:numId w:val="3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1" w:name="_Toc7553_WPSOffice_Level2"/>
      <w:r>
        <w:rPr>
          <w:rFonts w:hint="eastAsia" w:ascii="微软雅黑" w:hAnsi="微软雅黑" w:eastAsia="微软雅黑" w:cs="微软雅黑"/>
          <w:b/>
          <w:bCs/>
          <w:sz w:val="24"/>
        </w:rPr>
        <w:t>概述</w:t>
      </w:r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HS86</w:t>
      </w:r>
      <w:r>
        <w:rPr>
          <w:rFonts w:hint="eastAsia" w:ascii="微软雅黑" w:hAnsi="微软雅黑" w:eastAsia="微软雅黑" w:cs="微软雅黑"/>
          <w:sz w:val="18"/>
          <w:szCs w:val="18"/>
        </w:rPr>
        <w:t>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格睿物联技术有限公司最</w:t>
      </w:r>
      <w:r>
        <w:rPr>
          <w:rFonts w:hint="eastAsia" w:ascii="微软雅黑" w:hAnsi="微软雅黑" w:eastAsia="微软雅黑" w:cs="微软雅黑"/>
          <w:sz w:val="18"/>
          <w:szCs w:val="18"/>
        </w:rPr>
        <w:t>新推出的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带串口调试功能的</w:t>
      </w:r>
      <w:r>
        <w:rPr>
          <w:rFonts w:hint="eastAsia" w:ascii="微软雅黑" w:hAnsi="微软雅黑" w:eastAsia="微软雅黑" w:cs="微软雅黑"/>
          <w:sz w:val="18"/>
          <w:szCs w:val="18"/>
        </w:rPr>
        <w:t>数字式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混合</w:t>
      </w:r>
      <w:r>
        <w:rPr>
          <w:rFonts w:hint="eastAsia" w:ascii="微软雅黑" w:hAnsi="微软雅黑" w:eastAsia="微软雅黑" w:cs="微软雅黑"/>
          <w:sz w:val="18"/>
          <w:szCs w:val="18"/>
        </w:rPr>
        <w:t>步进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伺服</w:t>
      </w:r>
      <w:r>
        <w:rPr>
          <w:rFonts w:hint="eastAsia" w:ascii="微软雅黑" w:hAnsi="微软雅黑" w:eastAsia="微软雅黑" w:cs="微软雅黑"/>
          <w:sz w:val="18"/>
          <w:szCs w:val="18"/>
        </w:rPr>
        <w:t>驱动器，采用最新32位DSP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控制</w:t>
      </w:r>
      <w:r>
        <w:rPr>
          <w:rFonts w:hint="eastAsia" w:ascii="微软雅黑" w:hAnsi="微软雅黑" w:eastAsia="微软雅黑" w:cs="微软雅黑"/>
          <w:sz w:val="18"/>
          <w:szCs w:val="18"/>
        </w:rPr>
        <w:t>技术，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集成了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MODBUS-RTU标准协议规范，</w:t>
      </w:r>
      <w:r>
        <w:rPr>
          <w:rFonts w:hint="eastAsia" w:ascii="微软雅黑" w:hAnsi="微软雅黑" w:eastAsia="微软雅黑" w:cs="微软雅黑"/>
          <w:sz w:val="18"/>
          <w:szCs w:val="18"/>
        </w:rPr>
        <w:t>用户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可通过上位机调试软件</w:t>
      </w:r>
      <w:r>
        <w:rPr>
          <w:rFonts w:hint="eastAsia" w:ascii="微软雅黑" w:hAnsi="微软雅黑" w:eastAsia="微软雅黑" w:cs="微软雅黑"/>
          <w:sz w:val="18"/>
          <w:szCs w:val="18"/>
        </w:rPr>
        <w:t>设置200-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4000</w:t>
      </w:r>
      <w:r>
        <w:rPr>
          <w:rFonts w:hint="eastAsia" w:ascii="微软雅黑" w:hAnsi="微软雅黑" w:eastAsia="微软雅黑" w:cs="微软雅黑"/>
          <w:sz w:val="18"/>
          <w:szCs w:val="18"/>
        </w:rPr>
        <w:t>0内的任意细分以及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工作模式等多个参数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极大地丰富了产品的实用功能，</w:t>
      </w:r>
      <w:r>
        <w:rPr>
          <w:rFonts w:hint="eastAsia" w:ascii="微软雅黑" w:hAnsi="微软雅黑" w:eastAsia="微软雅黑" w:cs="微软雅黑"/>
          <w:sz w:val="18"/>
          <w:szCs w:val="18"/>
        </w:rPr>
        <w:t>能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够</w:t>
      </w:r>
      <w:r>
        <w:rPr>
          <w:rFonts w:hint="eastAsia" w:ascii="微软雅黑" w:hAnsi="微软雅黑" w:eastAsia="微软雅黑" w:cs="微软雅黑"/>
          <w:sz w:val="18"/>
          <w:szCs w:val="18"/>
        </w:rPr>
        <w:t>满足大多数场合的应用需要。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HS86驱动器采用类伺服的控制原理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兼容了开环步进和伺服系统的双重优点，彻底解决了开环步进丢步的问题，极大地提升了步进系统的性能，同时降低了电机的发热和低速振动。相对于伺服系统，大大降低了调试难度，具有快速启停，停机无振动等优点，且其体积小、成本低、性价比高，能够满足绝大多数场合的应用。</w:t>
      </w:r>
    </w:p>
    <w:p>
      <w:pPr>
        <w:numPr>
          <w:ilvl w:val="0"/>
          <w:numId w:val="3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2" w:name="_Toc20530_WPSOffice_Level2"/>
      <w:r>
        <w:rPr>
          <w:rFonts w:hint="eastAsia" w:ascii="微软雅黑" w:hAnsi="微软雅黑" w:eastAsia="微软雅黑" w:cs="微软雅黑"/>
          <w:b/>
          <w:bCs/>
          <w:sz w:val="24"/>
        </w:rPr>
        <w:t>特点</w:t>
      </w:r>
      <w:bookmarkEnd w:id="22"/>
    </w:p>
    <w:p>
      <w:pPr>
        <w:spacing w:line="360" w:lineRule="auto"/>
        <w:ind w:left="105" w:leftChars="50"/>
        <w:jc w:val="left"/>
        <w:rPr>
          <w:rFonts w:hint="default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带串口调试功能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外置拨码选择驱动器工作模式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</w:t>
      </w:r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●全新32位DSP技术 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体积小，便于安装</w:t>
      </w:r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●光隔离差分信号输入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</w:rPr>
        <w:t>●内置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微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细分                           </w:t>
      </w:r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●脉冲响应频率最高可达200KHz（更高可改）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</w:rPr>
        <w:t>●细分设定范围200-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40000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</w:t>
      </w:r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●精密电流控制使电机发热大为降低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</w:rPr>
        <w:t>●低振动低噪声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●静止时电流自动减半 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</w:rPr>
        <w:t>●具有过压、欠压、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过流</w:t>
      </w:r>
      <w:r>
        <w:rPr>
          <w:rFonts w:hint="eastAsia" w:ascii="微软雅黑" w:hAnsi="微软雅黑" w:eastAsia="微软雅黑" w:cs="微软雅黑"/>
          <w:sz w:val="18"/>
          <w:szCs w:val="18"/>
        </w:rPr>
        <w:t>等保护功能</w:t>
      </w:r>
    </w:p>
    <w:p>
      <w:pPr>
        <w:numPr>
          <w:ilvl w:val="0"/>
          <w:numId w:val="3"/>
        </w:numPr>
        <w:ind w:left="105" w:leftChars="5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</w:rPr>
      </w:pPr>
      <w:bookmarkStart w:id="23" w:name="_Toc28424_WPSOffice_Level2"/>
      <w:r>
        <w:rPr>
          <w:rFonts w:hint="eastAsia" w:ascii="微软雅黑" w:hAnsi="微软雅黑" w:eastAsia="微软雅黑" w:cs="微软雅黑"/>
          <w:b/>
          <w:bCs/>
          <w:sz w:val="24"/>
        </w:rPr>
        <w:t>应用领域</w:t>
      </w:r>
      <w:bookmarkEnd w:id="23"/>
    </w:p>
    <w:p>
      <w:pPr>
        <w:spacing w:line="360" w:lineRule="auto"/>
        <w:ind w:left="105" w:leftChars="50"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>
      <w:pPr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4" w:name="_Toc28424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二、电气、机械和环境指标</w:t>
      </w:r>
      <w:bookmarkEnd w:id="24"/>
    </w:p>
    <w:p>
      <w:pPr>
        <w:numPr>
          <w:ilvl w:val="0"/>
          <w:numId w:val="4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5" w:name="_Toc11578_WPSOffice_Level2"/>
      <w:r>
        <w:rPr>
          <w:rFonts w:hint="eastAsia" w:ascii="微软雅黑" w:hAnsi="微软雅黑" w:eastAsia="微软雅黑" w:cs="微软雅黑"/>
          <w:b/>
          <w:bCs/>
          <w:sz w:val="24"/>
        </w:rPr>
        <w:t>电气指标</w:t>
      </w:r>
      <w:bookmarkEnd w:id="25"/>
    </w:p>
    <w:tbl>
      <w:tblPr>
        <w:tblStyle w:val="7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HS86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最小值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典型值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最大值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输入电源电压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绝缘电阻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MΩ</w:t>
            </w:r>
          </w:p>
        </w:tc>
      </w:tr>
    </w:tbl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6" w:name="_Toc9268_WPSOffice_Level2"/>
    </w:p>
    <w:p>
      <w:pPr>
        <w:numPr>
          <w:ilvl w:val="0"/>
          <w:numId w:val="4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使用环境及参数</w:t>
      </w:r>
      <w:bookmarkEnd w:id="26"/>
    </w:p>
    <w:tbl>
      <w:tblPr>
        <w:tblStyle w:val="7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冷却方式</w:t>
            </w:r>
          </w:p>
        </w:tc>
        <w:tc>
          <w:tcPr>
            <w:tcW w:w="5044" w:type="dxa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自然冷却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、风扇散热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</w:tcPr>
          <w:p>
            <w:pPr>
              <w:spacing w:line="120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使用环境</w:t>
            </w:r>
          </w:p>
        </w:tc>
        <w:tc>
          <w:tcPr>
            <w:tcW w:w="119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场合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0——50℃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湿度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40—90%RH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振动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10~55Hz/0.15mm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保存温度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-20℃~65℃</w:t>
            </w:r>
          </w:p>
        </w:tc>
      </w:tr>
    </w:tbl>
    <w:p>
      <w:pPr>
        <w:numPr>
          <w:ilvl w:val="0"/>
          <w:numId w:val="4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7" w:name="_Toc25986_WPSOffice_Level2"/>
      <w:r>
        <w:rPr>
          <w:rFonts w:hint="eastAsia" w:ascii="微软雅黑" w:hAnsi="微软雅黑" w:eastAsia="微软雅黑" w:cs="微软雅黑"/>
          <w:b/>
          <w:bCs/>
          <w:sz w:val="24"/>
        </w:rPr>
        <w:t>机械安装图</w:t>
      </w:r>
      <w:bookmarkEnd w:id="27"/>
    </w:p>
    <w:p>
      <w:pPr>
        <w:jc w:val="center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eastAsia="zh-CN"/>
        </w:rPr>
        <w:drawing>
          <wp:inline distT="0" distB="0" distL="114300" distR="114300">
            <wp:extent cx="2740025" cy="5189855"/>
            <wp:effectExtent l="0" t="0" r="3175" b="10795"/>
            <wp:docPr id="2" name="图片 2" descr="HS86 正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S86 正面安装图"/>
                    <pic:cNvPicPr>
                      <a:picLocks noChangeAspect="1"/>
                    </pic:cNvPicPr>
                  </pic:nvPicPr>
                  <pic:blipFill>
                    <a:blip r:embed="rId6"/>
                    <a:srcRect t="4559"/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518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 xml:space="preserve">       </w:t>
      </w:r>
      <w:r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drawing>
          <wp:inline distT="0" distB="0" distL="114300" distR="114300">
            <wp:extent cx="1797050" cy="5380990"/>
            <wp:effectExtent l="0" t="0" r="12700" b="10160"/>
            <wp:docPr id="5" name="图片 5" descr="HS86 侧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S86 侧面安装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538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 xml:space="preserve">                              正面安装图                                侧面安装图</w:t>
      </w:r>
    </w:p>
    <w:p>
      <w:pPr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图1  安装尺寸图（单位：mm）</w:t>
      </w:r>
    </w:p>
    <w:p>
      <w:pPr>
        <w:spacing w:line="480" w:lineRule="auto"/>
        <w:jc w:val="left"/>
        <w:rPr>
          <w:rFonts w:hint="eastAsia" w:ascii="微软雅黑" w:hAnsi="微软雅黑" w:eastAsia="微软雅黑" w:cs="微软雅黑"/>
          <w:b w:val="0"/>
          <w:bCs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 ※推荐采用侧面安装，散热效果更佳，设计安装尺寸时，注意考虑端子大小及布线！</w:t>
      </w:r>
    </w:p>
    <w:p>
      <w:pPr>
        <w:numPr>
          <w:ilvl w:val="0"/>
          <w:numId w:val="4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8" w:name="_Toc15897_WPSOffice_Level2"/>
      <w:r>
        <w:rPr>
          <w:rFonts w:hint="eastAsia" w:ascii="微软雅黑" w:hAnsi="微软雅黑" w:eastAsia="微软雅黑" w:cs="微软雅黑"/>
          <w:b/>
          <w:bCs/>
          <w:sz w:val="24"/>
        </w:rPr>
        <w:t>加强散热方式</w:t>
      </w:r>
      <w:bookmarkEnd w:id="28"/>
    </w:p>
    <w:p>
      <w:pPr>
        <w:numPr>
          <w:ilvl w:val="0"/>
          <w:numId w:val="5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驱动器的可靠工作温度通常在50℃以内，电机工作温度为80℃以内；</w:t>
      </w:r>
    </w:p>
    <w:p>
      <w:pPr>
        <w:numPr>
          <w:ilvl w:val="0"/>
          <w:numId w:val="5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建议使用时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选择自动半流方式，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即电机</w:t>
      </w:r>
      <w:r>
        <w:rPr>
          <w:rFonts w:hint="eastAsia" w:ascii="微软雅黑" w:hAnsi="微软雅黑" w:eastAsia="微软雅黑" w:cs="微软雅黑"/>
          <w:sz w:val="18"/>
          <w:szCs w:val="18"/>
        </w:rPr>
        <w:t>停止时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电流自动减一半，减少电机和驱动器的发热；</w:t>
      </w:r>
    </w:p>
    <w:p>
      <w:pPr>
        <w:numPr>
          <w:ilvl w:val="0"/>
          <w:numId w:val="5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安装驱动器时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请采用侧面安装，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并</w:t>
      </w:r>
      <w:r>
        <w:rPr>
          <w:rFonts w:hint="eastAsia" w:ascii="微软雅黑" w:hAnsi="微软雅黑" w:eastAsia="微软雅黑" w:cs="微软雅黑"/>
          <w:sz w:val="18"/>
          <w:szCs w:val="18"/>
        </w:rPr>
        <w:t>使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驱动器底面</w:t>
      </w:r>
      <w:r>
        <w:rPr>
          <w:rFonts w:hint="eastAsia" w:ascii="微软雅黑" w:hAnsi="微软雅黑" w:eastAsia="微软雅黑" w:cs="微软雅黑"/>
          <w:sz w:val="18"/>
          <w:szCs w:val="18"/>
        </w:rPr>
        <w:t>形成较强的空气对流；必要时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机内靠近驱动器处安装风扇，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形成空气对流，辅助驱动</w:t>
      </w:r>
      <w:r>
        <w:rPr>
          <w:rFonts w:hint="eastAsia" w:ascii="微软雅黑" w:hAnsi="微软雅黑" w:eastAsia="微软雅黑" w:cs="微软雅黑"/>
          <w:sz w:val="18"/>
          <w:szCs w:val="18"/>
        </w:rPr>
        <w:t>散热，保证驱动器在可靠工作温度范围内工作。</w:t>
      </w:r>
    </w:p>
    <w:p>
      <w:pPr>
        <w:spacing w:line="360" w:lineRule="auto"/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9" w:name="_Toc11578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三、驱动器接口和接线介绍</w:t>
      </w:r>
      <w:bookmarkEnd w:id="29"/>
    </w:p>
    <w:p>
      <w:pPr>
        <w:numPr>
          <w:ilvl w:val="0"/>
          <w:numId w:val="6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30" w:name="_Toc28989_WPSOffice_Level2"/>
      <w:r>
        <w:rPr>
          <w:rFonts w:hint="eastAsia" w:ascii="微软雅黑" w:hAnsi="微软雅黑" w:eastAsia="微软雅黑" w:cs="微软雅黑"/>
          <w:b/>
          <w:bCs/>
          <w:sz w:val="24"/>
        </w:rPr>
        <w:t>接口描述</w:t>
      </w:r>
      <w:bookmarkEnd w:id="30"/>
    </w:p>
    <w:p>
      <w:pPr>
        <w:numPr>
          <w:ilvl w:val="0"/>
          <w:numId w:val="7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控制信号接口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6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80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LS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脉冲控制信号：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+5V-+24V均可驱动，上升沿有效，每当脉冲由高变低时，电机走一微步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。为了可靠响应脉冲信号，脉冲宽度应大于2μs。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LS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方向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bookmarkStart w:id="31" w:name="OLE_LINK1"/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bookmarkEnd w:id="31"/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为保证电机可靠换向，方向信号应先于脉冲信号至少5μs建立。电机的初始运行方向与电机接线有关，互换任一相绕组（如A+、A-交换）可以改变电机初始运行方向。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使能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用于使能或禁止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电机的运行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ENA+接+5V，ENA-接低电平时，驱动器将切断电机各相的电流使电机处于自由状态，此时步进脉冲不被响应。当不需用此功能时，使能信号端悬空即可。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另外，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ENA端还可用于清除超差报警信号。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210" w:firstLineChars="100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2）</w:t>
      </w: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输出信号</w:t>
      </w:r>
      <w:r>
        <w:rPr>
          <w:rFonts w:hint="eastAsia" w:ascii="微软雅黑" w:hAnsi="微软雅黑" w:eastAsia="微软雅黑" w:cs="微软雅黑"/>
          <w:b/>
          <w:bCs/>
          <w:szCs w:val="21"/>
        </w:rPr>
        <w:t>接口</w:t>
      </w:r>
    </w:p>
    <w:tbl>
      <w:tblPr>
        <w:tblStyle w:val="7"/>
        <w:tblW w:w="9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7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7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PEND+</w:t>
            </w:r>
          </w:p>
        </w:tc>
        <w:tc>
          <w:tcPr>
            <w:tcW w:w="780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到位信号输出：电机到达控制指令指定的位置，到位信号输出有效；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PEND+接上拉电阻到输出电源正极，PEND-接控制器的信号输入端；最大驱动电流50mA。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PEND-</w:t>
            </w:r>
          </w:p>
        </w:tc>
        <w:tc>
          <w:tcPr>
            <w:tcW w:w="780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ALM+</w:t>
            </w:r>
          </w:p>
        </w:tc>
        <w:tc>
          <w:tcPr>
            <w:tcW w:w="780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报警信号输出：过流、过压、欠压或位置超差报警发生时，报警信号输出有效；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ALM+接上拉电阻到输出电源正极，ALM-接控制器的信号输入端；最大驱动电流50mA。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8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ALM-</w:t>
            </w:r>
          </w:p>
        </w:tc>
        <w:tc>
          <w:tcPr>
            <w:tcW w:w="780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210" w:firstLineChars="100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3）</w:t>
      </w: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编码器接口</w:t>
      </w:r>
    </w:p>
    <w:tbl>
      <w:tblPr>
        <w:tblStyle w:val="7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7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eastAsia="zh-CN"/>
              </w:rPr>
              <w:t>名称</w:t>
            </w:r>
          </w:p>
        </w:tc>
        <w:tc>
          <w:tcPr>
            <w:tcW w:w="7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PB+</w:t>
            </w:r>
          </w:p>
        </w:tc>
        <w:tc>
          <w:tcPr>
            <w:tcW w:w="77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B相输入接口，需注意线序。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PB-</w:t>
            </w:r>
          </w:p>
        </w:tc>
        <w:tc>
          <w:tcPr>
            <w:tcW w:w="77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PA+</w:t>
            </w:r>
          </w:p>
        </w:tc>
        <w:tc>
          <w:tcPr>
            <w:tcW w:w="77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A相输入接口，需注意线序。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PA-</w:t>
            </w:r>
          </w:p>
        </w:tc>
        <w:tc>
          <w:tcPr>
            <w:tcW w:w="77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VCC</w:t>
            </w:r>
          </w:p>
        </w:tc>
        <w:tc>
          <w:tcPr>
            <w:tcW w:w="7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5V供电电源正端。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EGND</w:t>
            </w:r>
          </w:p>
        </w:tc>
        <w:tc>
          <w:tcPr>
            <w:tcW w:w="7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5V供电电源负端。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：闭环电机底部标签上注有编码器的接线顺序，需严格按照标签上的接线。</w:t>
      </w:r>
    </w:p>
    <w:p>
      <w:pPr>
        <w:numPr>
          <w:ilvl w:val="0"/>
          <w:numId w:val="0"/>
        </w:numPr>
        <w:spacing w:line="360" w:lineRule="auto"/>
        <w:ind w:firstLine="210" w:firstLineChars="100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4）</w:t>
      </w:r>
      <w:r>
        <w:rPr>
          <w:rFonts w:hint="eastAsia" w:ascii="微软雅黑" w:hAnsi="微软雅黑" w:eastAsia="微软雅黑" w:cs="微软雅黑"/>
          <w:b/>
          <w:bCs/>
          <w:szCs w:val="21"/>
        </w:rPr>
        <w:t>强电接口</w:t>
      </w:r>
    </w:p>
    <w:tbl>
      <w:tblPr>
        <w:tblStyle w:val="7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7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AC1</w:t>
            </w:r>
          </w:p>
        </w:tc>
        <w:tc>
          <w:tcPr>
            <w:tcW w:w="7651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交流输入电源，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AC20V-80V(DC30V-110V)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AC2</w:t>
            </w:r>
          </w:p>
        </w:tc>
        <w:tc>
          <w:tcPr>
            <w:tcW w:w="7651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A+、A-</w:t>
            </w:r>
          </w:p>
        </w:tc>
        <w:tc>
          <w:tcPr>
            <w:tcW w:w="7651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电机A相线圈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，需注意线序。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B+、B-</w:t>
            </w:r>
          </w:p>
        </w:tc>
        <w:tc>
          <w:tcPr>
            <w:tcW w:w="7651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电机B相线圈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，需注意线序。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：闭环电机底部标签上注有电机的接线顺序，需严格按照标签上的接线。</w:t>
      </w:r>
    </w:p>
    <w:p>
      <w:pPr>
        <w:numPr>
          <w:ilvl w:val="0"/>
          <w:numId w:val="0"/>
        </w:numPr>
        <w:spacing w:line="360" w:lineRule="auto"/>
        <w:ind w:firstLine="210" w:firstLineChars="100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5）</w:t>
      </w:r>
      <w:r>
        <w:rPr>
          <w:rFonts w:hint="eastAsia" w:ascii="微软雅黑" w:hAnsi="微软雅黑" w:eastAsia="微软雅黑" w:cs="微软雅黑"/>
          <w:b/>
          <w:bCs/>
          <w:szCs w:val="21"/>
        </w:rPr>
        <w:t>232通讯接口</w:t>
      </w:r>
    </w:p>
    <w:p>
      <w:pPr>
        <w:spacing w:line="360" w:lineRule="auto"/>
        <w:ind w:firstLine="360" w:firstLineChars="20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HS86驱动的串口通讯接口采用PH2.0-7P的端子，</w:t>
      </w:r>
      <w:r>
        <w:rPr>
          <w:rFonts w:hint="eastAsia" w:ascii="微软雅黑" w:hAnsi="微软雅黑" w:eastAsia="微软雅黑" w:cs="微软雅黑"/>
          <w:sz w:val="18"/>
          <w:szCs w:val="18"/>
        </w:rPr>
        <w:t>可以通过专用串口电缆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线经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USB转TTL串口转换工具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连接至</w:t>
      </w:r>
      <w:r>
        <w:rPr>
          <w:rFonts w:hint="eastAsia" w:ascii="微软雅黑" w:hAnsi="微软雅黑" w:eastAsia="微软雅黑" w:cs="微软雅黑"/>
          <w:sz w:val="18"/>
          <w:szCs w:val="18"/>
        </w:rPr>
        <w:t>PC机，禁止带电插拔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！</w:t>
      </w:r>
      <w:r>
        <w:rPr>
          <w:rFonts w:hint="eastAsia" w:ascii="微软雅黑" w:hAnsi="微软雅黑" w:eastAsia="微软雅黑" w:cs="微软雅黑"/>
          <w:sz w:val="18"/>
          <w:szCs w:val="18"/>
        </w:rPr>
        <w:t>通过在PC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端，客户</w:t>
      </w:r>
      <w:r>
        <w:rPr>
          <w:rFonts w:hint="eastAsia" w:ascii="微软雅黑" w:hAnsi="微软雅黑" w:eastAsia="微软雅黑" w:cs="微软雅黑"/>
          <w:sz w:val="18"/>
          <w:szCs w:val="18"/>
        </w:rPr>
        <w:t>可以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设置</w:t>
      </w:r>
      <w:r>
        <w:rPr>
          <w:rFonts w:hint="eastAsia" w:ascii="微软雅黑" w:hAnsi="微软雅黑" w:eastAsia="微软雅黑" w:cs="微软雅黑"/>
          <w:sz w:val="18"/>
          <w:szCs w:val="18"/>
        </w:rPr>
        <w:t>所需要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的参数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如电流、细分、工作模式等，具体可看上位机软件界面</w:t>
      </w:r>
      <w:r>
        <w:rPr>
          <w:rFonts w:hint="eastAsia" w:ascii="微软雅黑" w:hAnsi="微软雅黑" w:eastAsia="微软雅黑" w:cs="微软雅黑"/>
          <w:sz w:val="18"/>
          <w:szCs w:val="18"/>
        </w:rPr>
        <w:t>。</w:t>
      </w:r>
    </w:p>
    <w:tbl>
      <w:tblPr>
        <w:tblStyle w:val="7"/>
        <w:tblW w:w="6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261"/>
        <w:gridCol w:w="2719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端子号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符号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GND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RS232通讯地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TXD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RS232发送端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RXD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RS232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接收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端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spacing w:line="360" w:lineRule="auto"/>
        <w:ind w:firstLine="420" w:firstLineChars="0"/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HS86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与PC机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连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接的电缆必须为专用电缆（视用户情况随机附送）使用前确认，以免发生损坏。</w:t>
      </w:r>
    </w:p>
    <w:p>
      <w:pPr>
        <w:numPr>
          <w:ilvl w:val="0"/>
          <w:numId w:val="0"/>
        </w:numPr>
        <w:spacing w:line="360" w:lineRule="auto"/>
        <w:ind w:firstLine="210" w:firstLineChars="100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6）</w:t>
      </w:r>
      <w:r>
        <w:rPr>
          <w:rFonts w:hint="eastAsia" w:ascii="微软雅黑" w:hAnsi="微软雅黑" w:eastAsia="微软雅黑" w:cs="微软雅黑"/>
          <w:b/>
          <w:bCs/>
          <w:szCs w:val="21"/>
        </w:rPr>
        <w:t>状态指示</w:t>
      </w:r>
    </w:p>
    <w:p>
      <w:pPr>
        <w:spacing w:line="360" w:lineRule="auto"/>
        <w:ind w:left="142"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绿色LED为电源指示灯，当驱动器接通电源时，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LED常亮；当驱动器切断电源时，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LED熄灭。</w:t>
      </w:r>
    </w:p>
    <w:p>
      <w:pPr>
        <w:spacing w:line="360" w:lineRule="auto"/>
        <w:ind w:left="500" w:leftChars="238" w:firstLine="0" w:firstLineChars="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红色LED为故障指示灯，当出现故障时，该指示灯以3秒为周期循环闪烁；当故障被用户消除时，红色LED常灭。红色LED在3秒内闪烁次数代表不同的故障信息，具体关系如下表所示：</w:t>
      </w:r>
    </w:p>
    <w:tbl>
      <w:tblPr>
        <w:tblStyle w:val="7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62"/>
        <w:gridCol w:w="3692"/>
        <w:gridCol w:w="3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60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62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闪烁次数</w:t>
            </w:r>
          </w:p>
        </w:tc>
        <w:tc>
          <w:tcPr>
            <w:tcW w:w="3692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红色LED闪烁波形</w:t>
            </w:r>
          </w:p>
        </w:tc>
        <w:tc>
          <w:tcPr>
            <w:tcW w:w="3208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故障说明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1</w:t>
            </w:r>
          </w:p>
        </w:tc>
        <w:tc>
          <w:tcPr>
            <w:tcW w:w="3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0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005" cy="300355"/>
                  <wp:effectExtent l="0" t="0" r="4445" b="4445"/>
                  <wp:docPr id="1" name="图片 1" descr="b4b7420fd81022979949bd221bdc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4b7420fd81022979949bd221bdc59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005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过流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相间短路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或接触不良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故障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</w:p>
        </w:tc>
        <w:tc>
          <w:tcPr>
            <w:tcW w:w="116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</w:p>
        </w:tc>
        <w:tc>
          <w:tcPr>
            <w:tcW w:w="3692" w:type="dxa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299085"/>
                  <wp:effectExtent l="0" t="0" r="3810" b="5715"/>
                  <wp:docPr id="3" name="图片 3" descr="07aaeaeba1020372a59a448bd381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aaeaeba1020372a59a448bd381b8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8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过压故障（电压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&gt;AC80V/DC110V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</w:t>
            </w:r>
          </w:p>
        </w:tc>
        <w:tc>
          <w:tcPr>
            <w:tcW w:w="116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</w:t>
            </w:r>
          </w:p>
        </w:tc>
        <w:tc>
          <w:tcPr>
            <w:tcW w:w="3692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3910" cy="309245"/>
                  <wp:effectExtent l="0" t="0" r="2540" b="14605"/>
                  <wp:docPr id="4" name="图片 4" descr="6ba76b7c1245b14a916aadd4c40f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ba76b7c1245b14a916aadd4c40f2f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8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欠压故障（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&lt;AC20V/DC30V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92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311785"/>
                  <wp:effectExtent l="0" t="0" r="3810" b="12065"/>
                  <wp:docPr id="11" name="图片 11" descr="6f084afacbf711a593eea399b047a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f084afacbf711a593eea399b047aa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8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电机开路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t>（缺相）</w:t>
            </w:r>
          </w:p>
        </w:tc>
      </w:tr>
    </w:tbl>
    <w:p>
      <w:pPr>
        <w:spacing w:line="360" w:lineRule="auto"/>
        <w:ind w:firstLine="420" w:firstLineChars="0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32" w:name="_Toc10690_WPSOffice_Level2"/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超差报警时，红色LED常亮，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若是由过压或欠压引起的超差报警，则红色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LED会不间断的快速频闪。另外，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当发生超差报警时，可通过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ENA端使能清除超差报警信号。</w:t>
      </w:r>
    </w:p>
    <w:p>
      <w:pPr>
        <w:numPr>
          <w:ilvl w:val="0"/>
          <w:numId w:val="6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控制信号接口电路</w:t>
      </w:r>
      <w:bookmarkEnd w:id="32"/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b w:val="0"/>
          <w:bCs w:val="0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HS86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控制信号端</w:t>
      </w:r>
      <w:r>
        <w:rPr>
          <w:rFonts w:hint="eastAsia" w:ascii="微软雅黑" w:hAnsi="微软雅黑" w:eastAsia="微软雅黑" w:cs="微软雅黑"/>
          <w:sz w:val="18"/>
          <w:szCs w:val="18"/>
        </w:rPr>
        <w:t>采用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差分</w:t>
      </w:r>
      <w:r>
        <w:rPr>
          <w:rFonts w:hint="eastAsia" w:ascii="微软雅黑" w:hAnsi="微软雅黑" w:eastAsia="微软雅黑" w:cs="微软雅黑"/>
          <w:sz w:val="18"/>
          <w:szCs w:val="18"/>
        </w:rPr>
        <w:t>式接口电路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可适用差分信号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如图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2所示。</w:t>
      </w:r>
    </w:p>
    <w:p>
      <w:pPr>
        <w:spacing w:line="360" w:lineRule="auto"/>
        <w:jc w:val="both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3054350" cy="3260090"/>
            <wp:effectExtent l="0" t="0" r="12700" b="16510"/>
            <wp:docPr id="8" name="图片 8" descr="共阳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共阳极接法示意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326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3016250" cy="3287395"/>
            <wp:effectExtent l="0" t="0" r="12700" b="8255"/>
            <wp:docPr id="7" name="图片 7" descr="共阴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共阴极接法示意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图2  输入接口电路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HS86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5V-24V通用驱动器，因此信号控制端不需要串电阻！</w:t>
      </w:r>
    </w:p>
    <w:p>
      <w:pPr>
        <w:numPr>
          <w:ilvl w:val="0"/>
          <w:numId w:val="6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33" w:name="_Toc12369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控制信号时序图</w:t>
      </w:r>
      <w:bookmarkEnd w:id="33"/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为了避免一些误动作和偏差，P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LS</w:t>
      </w:r>
      <w:r>
        <w:rPr>
          <w:rFonts w:hint="eastAsia" w:ascii="微软雅黑" w:hAnsi="微软雅黑" w:eastAsia="微软雅黑" w:cs="微软雅黑"/>
          <w:sz w:val="18"/>
          <w:szCs w:val="18"/>
        </w:rPr>
        <w:t>、DIR和ENA应满足一定要求，如下图所示：</w:t>
      </w:r>
    </w:p>
    <w:p>
      <w:pPr>
        <w:spacing w:line="360" w:lineRule="auto"/>
        <w:ind w:left="105" w:leftChars="50"/>
        <w:jc w:val="center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5019675" cy="2028825"/>
            <wp:effectExtent l="0" t="0" r="9525" b="9525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控制信号时序图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注释：</w:t>
      </w:r>
    </w:p>
    <w:p>
      <w:pPr>
        <w:numPr>
          <w:ilvl w:val="0"/>
          <w:numId w:val="8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t1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ENA（使能信号）应提前DIR至少5ms，确定为高。一般情况下建议ENA+和ENA-悬空即可。</w:t>
      </w:r>
    </w:p>
    <w:p>
      <w:pPr>
        <w:numPr>
          <w:ilvl w:val="0"/>
          <w:numId w:val="8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t2：DIR至少提前P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LS</w:t>
      </w:r>
      <w:r>
        <w:rPr>
          <w:rFonts w:hint="eastAsia" w:ascii="微软雅黑" w:hAnsi="微软雅黑" w:eastAsia="微软雅黑" w:cs="微软雅黑"/>
          <w:sz w:val="18"/>
          <w:szCs w:val="18"/>
        </w:rPr>
        <w:t>下降沿5μs确定其状态高或低。</w:t>
      </w:r>
    </w:p>
    <w:p>
      <w:pPr>
        <w:numPr>
          <w:ilvl w:val="0"/>
          <w:numId w:val="8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t3：脉冲宽度至少不小于2.5μs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8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t4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低电平宽度不小于2.5μs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6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34" w:name="_Toc23163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控制信号模式设置</w:t>
      </w:r>
      <w:bookmarkEnd w:id="34"/>
    </w:p>
    <w:p>
      <w:pPr>
        <w:spacing w:line="360" w:lineRule="auto"/>
        <w:ind w:left="105" w:leftChars="50"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脉冲触发沿选择：通过PC机软件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可</w:t>
      </w:r>
      <w:r>
        <w:rPr>
          <w:rFonts w:hint="eastAsia" w:ascii="微软雅黑" w:hAnsi="微软雅黑" w:eastAsia="微软雅黑" w:cs="微软雅黑"/>
          <w:sz w:val="18"/>
          <w:szCs w:val="18"/>
        </w:rPr>
        <w:t>设置脉冲上升沿或下降沿触发有效。</w:t>
      </w:r>
    </w:p>
    <w:p>
      <w:pPr>
        <w:numPr>
          <w:ilvl w:val="0"/>
          <w:numId w:val="6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35" w:name="_Toc30698_WPSOffice_Level2"/>
      <w:r>
        <w:rPr>
          <w:rFonts w:hint="eastAsia" w:ascii="微软雅黑" w:hAnsi="微软雅黑" w:eastAsia="微软雅黑" w:cs="微软雅黑"/>
          <w:b/>
          <w:bCs/>
          <w:sz w:val="24"/>
        </w:rPr>
        <w:t>接线要求</w:t>
      </w:r>
      <w:bookmarkEnd w:id="35"/>
    </w:p>
    <w:p>
      <w:pPr>
        <w:numPr>
          <w:ilvl w:val="0"/>
          <w:numId w:val="9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>
      <w:pPr>
        <w:numPr>
          <w:ilvl w:val="0"/>
          <w:numId w:val="9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>
      <w:pPr>
        <w:numPr>
          <w:ilvl w:val="0"/>
          <w:numId w:val="9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如果一个电源供多台驱动器，应在电源处采取并联连接，不允许先到一台再到一台链状式连接。</w:t>
      </w:r>
    </w:p>
    <w:p>
      <w:pPr>
        <w:numPr>
          <w:ilvl w:val="0"/>
          <w:numId w:val="9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严禁带电拔插驱动器强电端子，带电的电机停止时仍有大电流流过线圈，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带电</w:t>
      </w:r>
      <w:r>
        <w:rPr>
          <w:rFonts w:hint="eastAsia" w:ascii="微软雅黑" w:hAnsi="微软雅黑" w:eastAsia="微软雅黑" w:cs="微软雅黑"/>
          <w:sz w:val="18"/>
          <w:szCs w:val="18"/>
        </w:rPr>
        <w:t>拔插端子将导致巨大的瞬间感生电动势烧坏驱动器。</w:t>
      </w:r>
    </w:p>
    <w:p>
      <w:pPr>
        <w:numPr>
          <w:ilvl w:val="0"/>
          <w:numId w:val="9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严禁将导线头加锡后接入接线端子，否则可能因接触电阻变大而过热损坏端子。</w:t>
      </w:r>
    </w:p>
    <w:p>
      <w:pPr>
        <w:numPr>
          <w:ilvl w:val="0"/>
          <w:numId w:val="9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接线线头不能裸露在端子外，以防意外短路而损坏驱动器。</w:t>
      </w:r>
    </w:p>
    <w:p>
      <w:pPr>
        <w:numPr>
          <w:ilvl w:val="0"/>
          <w:numId w:val="10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36" w:name="_Toc9268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拨码开关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功能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设定</w:t>
      </w:r>
      <w:bookmarkEnd w:id="36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HS86</w:t>
      </w:r>
      <w:r>
        <w:rPr>
          <w:rFonts w:hint="eastAsia" w:ascii="微软雅黑" w:hAnsi="微软雅黑" w:eastAsia="微软雅黑" w:cs="微软雅黑"/>
          <w:sz w:val="18"/>
          <w:szCs w:val="18"/>
        </w:rPr>
        <w:t>驱动器采用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18"/>
          <w:szCs w:val="18"/>
        </w:rPr>
        <w:t>位拨码开关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SW1-SW4用于ALM、PEND输出组态设置、算法选择、最大峰值电流设置、方向选择；SW5-SW8用于细分设置；SW9-SW10用于工作模式选择。</w:t>
      </w:r>
      <w:r>
        <w:rPr>
          <w:rFonts w:hint="eastAsia" w:ascii="微软雅黑" w:hAnsi="微软雅黑" w:eastAsia="微软雅黑" w:cs="微软雅黑"/>
          <w:sz w:val="18"/>
          <w:szCs w:val="18"/>
        </w:rPr>
        <w:t>详细描述如下：</w:t>
      </w:r>
    </w:p>
    <w:tbl>
      <w:tblPr>
        <w:tblStyle w:val="7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SW1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SW2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SW3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SW4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SW5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SW6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SW7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SW8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SW9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3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功能设置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细分设置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工作模式设置</w:t>
            </w:r>
          </w:p>
        </w:tc>
      </w:tr>
    </w:tbl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功能设置</w:t>
      </w:r>
    </w:p>
    <w:p>
      <w:pPr>
        <w:numPr>
          <w:ilvl w:val="0"/>
          <w:numId w:val="12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default" w:ascii="Times New Roman" w:hAnsi="Times New Roman" w:eastAsia="微软雅黑" w:cs="Times New Roman"/>
          <w:b/>
          <w:bCs/>
          <w:szCs w:val="21"/>
          <w:lang w:val="en-US" w:eastAsia="zh-CN"/>
        </w:rPr>
        <w:t>ALM、PEND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输出组态设置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SW1设置ALM、PEND的输出信号阻态，SW1=off时，为常开状态；SW1=on时，为常闭状态。</w:t>
      </w:r>
    </w:p>
    <w:p>
      <w:pPr>
        <w:numPr>
          <w:ilvl w:val="0"/>
          <w:numId w:val="12"/>
        </w:numPr>
        <w:spacing w:line="48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算法选择</w:t>
      </w:r>
    </w:p>
    <w:p>
      <w:pPr>
        <w:spacing w:line="360" w:lineRule="auto"/>
        <w:ind w:firstLine="360" w:firstLineChars="20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SW2用于选择驱动器的控制算法，SW2=off时，为A算法；SW2=on时，为B算法。</w:t>
      </w:r>
    </w:p>
    <w:p>
      <w:pPr>
        <w:numPr>
          <w:ilvl w:val="0"/>
          <w:numId w:val="12"/>
        </w:numPr>
        <w:spacing w:line="48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最大电流设置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SW3设置驱动器的最大输出电流，SW3=off时，为小电流输出，主要适配57或60闭环电机；SW3=on时，为大电流输出，主要适配86闭环电机。</w:t>
      </w:r>
    </w:p>
    <w:p>
      <w:pPr>
        <w:numPr>
          <w:ilvl w:val="0"/>
          <w:numId w:val="12"/>
        </w:numPr>
        <w:spacing w:line="48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方向选择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SW4设置电机的初始旋转方向，SW4=off时，为正方向旋转；SW4=on时，为反方向旋转。</w:t>
      </w:r>
    </w:p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bookmarkStart w:id="37" w:name="_Toc3544_WPSOffice_Level2"/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细分</w:t>
      </w:r>
      <w:bookmarkEnd w:id="37"/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设置</w:t>
      </w:r>
    </w:p>
    <w:tbl>
      <w:tblPr>
        <w:tblStyle w:val="7"/>
        <w:tblW w:w="7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65"/>
        <w:gridCol w:w="810"/>
        <w:gridCol w:w="840"/>
        <w:gridCol w:w="810"/>
        <w:gridCol w:w="3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步数/转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SW6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SW7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SW8</w:t>
            </w:r>
          </w:p>
        </w:tc>
        <w:tc>
          <w:tcPr>
            <w:tcW w:w="3314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细分说明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当SW5、SW6、SW7、SW8都为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off状态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时，用户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通过PC机软件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设置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200-40000的任意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细分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值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，分辨率为1。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6400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12800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25600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51200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40000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bookmarkStart w:id="42" w:name="_GoBack"/>
      <w:bookmarkEnd w:id="42"/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工作模式设置</w:t>
      </w:r>
    </w:p>
    <w:tbl>
      <w:tblPr>
        <w:tblStyle w:val="7"/>
        <w:tblW w:w="8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37"/>
        <w:gridCol w:w="2575"/>
        <w:gridCol w:w="3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SW9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SW10</w:t>
            </w:r>
          </w:p>
        </w:tc>
        <w:tc>
          <w:tcPr>
            <w:tcW w:w="25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工作模式选择</w:t>
            </w: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off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off</w:t>
            </w:r>
          </w:p>
        </w:tc>
        <w:tc>
          <w:tcPr>
            <w:tcW w:w="25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脉冲+方向</w:t>
            </w:r>
          </w:p>
        </w:tc>
        <w:tc>
          <w:tcPr>
            <w:tcW w:w="3292" w:type="dxa"/>
            <w:vMerge w:val="restart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当SW9、SW10都为off状态时，用户可通过PC机软件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自行设置工作模式。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on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off</w:t>
            </w:r>
          </w:p>
        </w:tc>
        <w:tc>
          <w:tcPr>
            <w:tcW w:w="25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脉冲+方向带平滑处理</w:t>
            </w:r>
          </w:p>
        </w:tc>
        <w:tc>
          <w:tcPr>
            <w:tcW w:w="3292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off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on</w:t>
            </w:r>
          </w:p>
        </w:tc>
        <w:tc>
          <w:tcPr>
            <w:tcW w:w="25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双脉冲</w:t>
            </w:r>
          </w:p>
        </w:tc>
        <w:tc>
          <w:tcPr>
            <w:tcW w:w="3292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on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on</w:t>
            </w:r>
          </w:p>
        </w:tc>
        <w:tc>
          <w:tcPr>
            <w:tcW w:w="25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自发脉冲</w:t>
            </w:r>
          </w:p>
        </w:tc>
        <w:tc>
          <w:tcPr>
            <w:tcW w:w="3292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修改后需重新上电才能生效。</w:t>
      </w:r>
    </w:p>
    <w:p>
      <w:pPr>
        <w:numPr>
          <w:ilvl w:val="0"/>
          <w:numId w:val="10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38" w:name="_Toc25986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供电电源选择</w:t>
      </w:r>
      <w:bookmarkEnd w:id="38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39" w:name="_Toc28989_WPSOffice_Level1"/>
      <w:r>
        <w:rPr>
          <w:rFonts w:hint="eastAsia" w:ascii="微软雅黑" w:hAnsi="微软雅黑" w:eastAsia="微软雅黑" w:cs="微软雅黑"/>
          <w:sz w:val="18"/>
          <w:szCs w:val="18"/>
        </w:rPr>
        <w:t>电源电压在规定范围之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内</w:t>
      </w:r>
      <w:r>
        <w:rPr>
          <w:rFonts w:hint="eastAsia" w:ascii="微软雅黑" w:hAnsi="微软雅黑" w:eastAsia="微软雅黑" w:cs="微软雅黑"/>
          <w:sz w:val="18"/>
          <w:szCs w:val="18"/>
        </w:rPr>
        <w:t>都可以正常工作，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HS86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可采用变压器供电，建议变压器的交流输出电压</w:t>
      </w:r>
      <w:r>
        <w:rPr>
          <w:rFonts w:hint="eastAsia" w:ascii="微软雅黑" w:hAnsi="微软雅黑" w:eastAsia="微软雅黑" w:cs="微软雅黑"/>
          <w:sz w:val="18"/>
          <w:szCs w:val="18"/>
        </w:rPr>
        <w:t>不超过其规定的最大电压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。HS86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也可以</w:t>
      </w:r>
      <w:r>
        <w:rPr>
          <w:rFonts w:hint="eastAsia" w:ascii="微软雅黑" w:hAnsi="微软雅黑" w:eastAsia="微软雅黑" w:cs="微软雅黑"/>
          <w:sz w:val="18"/>
          <w:szCs w:val="18"/>
        </w:rPr>
        <w:t>采用非稳压型直流电源供电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但注意应使整流后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的</w:t>
      </w:r>
      <w:r>
        <w:rPr>
          <w:rFonts w:hint="eastAsia" w:ascii="微软雅黑" w:hAnsi="微软雅黑" w:eastAsia="微软雅黑" w:cs="微软雅黑"/>
          <w:sz w:val="18"/>
          <w:szCs w:val="18"/>
        </w:rPr>
        <w:t>电压纹波峰值不超过其规定的最大电压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  <w:r>
        <w:rPr>
          <w:rFonts w:hint="eastAsia" w:ascii="微软雅黑" w:hAnsi="微软雅黑" w:eastAsia="微软雅黑" w:cs="微软雅黑"/>
          <w:sz w:val="18"/>
          <w:szCs w:val="18"/>
        </w:rPr>
        <w:t>建议用户使用低于最大电压的直流电压供电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，避免电网波动超过驱动器的工作电压范围</w:t>
      </w:r>
      <w:r>
        <w:rPr>
          <w:rFonts w:hint="eastAsia" w:ascii="微软雅黑" w:hAnsi="微软雅黑" w:eastAsia="微软雅黑" w:cs="微软雅黑"/>
          <w:sz w:val="18"/>
          <w:szCs w:val="18"/>
        </w:rPr>
        <w:t>。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如果使用稳压型开关电源供电，应注意开关电源的输出电流范围需设成最大。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</w:p>
    <w:p>
      <w:pPr>
        <w:numPr>
          <w:ilvl w:val="0"/>
          <w:numId w:val="13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3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最好用非稳压型电源；</w:t>
      </w:r>
    </w:p>
    <w:p>
      <w:pPr>
        <w:numPr>
          <w:ilvl w:val="0"/>
          <w:numId w:val="13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采用非稳压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</w:t>
      </w:r>
      <w:r>
        <w:rPr>
          <w:rFonts w:hint="eastAsia" w:ascii="微软雅黑" w:hAnsi="微软雅黑" w:eastAsia="微软雅黑" w:cs="微软雅黑"/>
          <w:sz w:val="18"/>
          <w:szCs w:val="18"/>
        </w:rPr>
        <w:t>电源时，电源电流输出能力应大于驱动器设定电流的60%即可；</w:t>
      </w:r>
    </w:p>
    <w:p>
      <w:pPr>
        <w:numPr>
          <w:ilvl w:val="0"/>
          <w:numId w:val="13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开关电源时，电源的输出电流应大于或等于驱动器的工作电流；</w:t>
      </w:r>
    </w:p>
    <w:p>
      <w:pPr>
        <w:numPr>
          <w:ilvl w:val="0"/>
          <w:numId w:val="13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为降低成本，两三个驱动器可共用一个电源，但应保证电源功率足够大。</w:t>
      </w:r>
    </w:p>
    <w:p>
      <w:pPr>
        <w:numPr>
          <w:ilvl w:val="0"/>
          <w:numId w:val="10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保护功能</w:t>
      </w:r>
      <w:bookmarkEnd w:id="39"/>
    </w:p>
    <w:p>
      <w:pPr>
        <w:numPr>
          <w:ilvl w:val="0"/>
          <w:numId w:val="14"/>
        </w:numPr>
        <w:spacing w:line="360" w:lineRule="auto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40" w:name="_Toc20685_WPSOffice_Level2"/>
      <w:r>
        <w:rPr>
          <w:rFonts w:hint="eastAsia" w:ascii="微软雅黑" w:hAnsi="微软雅黑" w:eastAsia="微软雅黑" w:cs="微软雅黑"/>
          <w:b/>
          <w:bCs/>
          <w:sz w:val="24"/>
        </w:rPr>
        <w:t>短路保护</w:t>
      </w:r>
      <w:bookmarkEnd w:id="40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当发生相间短路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驱动器内部过流时，驱动器红灯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1次，且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4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bookmarkStart w:id="41" w:name="_Toc15522_WPSOffice_Level2"/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过压保护</w:t>
      </w:r>
      <w:bookmarkEnd w:id="41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当输入电压高于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AC80V</w:t>
      </w:r>
      <w:r>
        <w:rPr>
          <w:rFonts w:hint="eastAsia" w:ascii="微软雅黑" w:hAnsi="微软雅黑" w:eastAsia="微软雅黑" w:cs="微软雅黑"/>
          <w:sz w:val="18"/>
          <w:szCs w:val="18"/>
        </w:rPr>
        <w:t>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2次，且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4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压保护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低于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AC20V</w:t>
      </w:r>
      <w:r>
        <w:rPr>
          <w:rFonts w:hint="eastAsia" w:ascii="微软雅黑" w:hAnsi="微软雅黑" w:eastAsia="微软雅黑" w:cs="微软雅黑"/>
          <w:sz w:val="18"/>
          <w:szCs w:val="18"/>
        </w:rPr>
        <w:t>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4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缺相保护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上电初始，电机缺相</w:t>
      </w:r>
      <w:r>
        <w:rPr>
          <w:rFonts w:hint="eastAsia" w:ascii="微软雅黑" w:hAnsi="微软雅黑" w:eastAsia="微软雅黑" w:cs="微软雅黑"/>
          <w:sz w:val="18"/>
          <w:szCs w:val="18"/>
        </w:rPr>
        <w:t>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4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超差报警信号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当发生超差报警时，驱动器的红灯将保持常亮或快速频闪的状态。</w:t>
      </w:r>
      <w:r>
        <w:rPr>
          <w:rFonts w:hint="eastAsia" w:ascii="微软雅黑" w:hAnsi="微软雅黑" w:eastAsia="微软雅黑" w:cs="微软雅黑"/>
          <w:sz w:val="18"/>
          <w:szCs w:val="18"/>
        </w:rPr>
        <w:t>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，可通过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ENA端清除报警或重新上电复位</w:t>
      </w:r>
      <w:r>
        <w:rPr>
          <w:rFonts w:hint="eastAsia" w:ascii="微软雅黑" w:hAnsi="微软雅黑" w:eastAsia="微软雅黑" w:cs="微软雅黑"/>
          <w:sz w:val="18"/>
          <w:szCs w:val="18"/>
        </w:rPr>
        <w:t>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ptab w:relativeTo="margin" w:alignment="left" w:leader="none"/>
    </w:r>
    <w:r>
      <w:rPr>
        <w:rFonts w:hint="eastAsia"/>
      </w:rPr>
      <w:t xml:space="preserve">   </w:t>
    </w:r>
    <w:r>
      <w:rPr>
        <w:rFonts w:hint="eastAsia"/>
        <w:lang w:val="en-US" w:eastAsia="zh-CN"/>
      </w:rPr>
      <w:t xml:space="preserve">                 </w:t>
    </w:r>
    <w:r>
      <w:rPr>
        <w:rFonts w:hint="eastAsia"/>
      </w:rPr>
      <w:t xml:space="preserve">             </w:t>
    </w:r>
    <w:r>
      <w:rPr>
        <w:rFonts w:hint="eastAsia"/>
        <w:lang w:val="en-US" w:eastAsia="zh-CN"/>
      </w:rPr>
      <w:t xml:space="preserve"> HS86</w:t>
    </w:r>
    <w:r>
      <w:rPr>
        <w:rFonts w:hint="eastAsia"/>
      </w:rPr>
      <w:t>数字式</w:t>
    </w:r>
    <w:r>
      <w:rPr>
        <w:rFonts w:hint="eastAsia"/>
        <w:lang w:eastAsia="zh-CN"/>
      </w:rPr>
      <w:t>混合</w:t>
    </w:r>
    <w:r>
      <w:rPr>
        <w:rFonts w:hint="eastAsia"/>
      </w:rPr>
      <w:t>步进</w:t>
    </w:r>
    <w:r>
      <w:rPr>
        <w:rFonts w:hint="eastAsia"/>
        <w:lang w:eastAsia="zh-CN"/>
      </w:rPr>
      <w:t>伺服</w:t>
    </w:r>
    <w:r>
      <w:rPr>
        <w:rFonts w:hint="eastAsia"/>
      </w:rPr>
      <w:t>驱动器使用说明书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815515F3"/>
    <w:multiLevelType w:val="singleLevel"/>
    <w:tmpl w:val="81551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60F7B60"/>
    <w:multiLevelType w:val="singleLevel"/>
    <w:tmpl w:val="860F7B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2C4FEBB"/>
    <w:multiLevelType w:val="singleLevel"/>
    <w:tmpl w:val="92C4FEBB"/>
    <w:lvl w:ilvl="0" w:tentative="0">
      <w:start w:val="3"/>
      <w:numFmt w:val="decimal"/>
      <w:suff w:val="space"/>
      <w:lvlText w:val="%1."/>
      <w:lvlJc w:val="left"/>
    </w:lvl>
  </w:abstractNum>
  <w:abstractNum w:abstractNumId="4">
    <w:nsid w:val="995E7FA3"/>
    <w:multiLevelType w:val="singleLevel"/>
    <w:tmpl w:val="995E7F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A329F92A"/>
    <w:multiLevelType w:val="singleLevel"/>
    <w:tmpl w:val="A329F92A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F75F7260"/>
    <w:multiLevelType w:val="singleLevel"/>
    <w:tmpl w:val="F75F726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796C351"/>
    <w:multiLevelType w:val="singleLevel"/>
    <w:tmpl w:val="0796C351"/>
    <w:lvl w:ilvl="0" w:tentative="0">
      <w:start w:val="1"/>
      <w:numFmt w:val="decimal"/>
      <w:suff w:val="nothing"/>
      <w:lvlText w:val="%1）"/>
      <w:lvlJc w:val="left"/>
    </w:lvl>
  </w:abstractNum>
  <w:abstractNum w:abstractNumId="9">
    <w:nsid w:val="0C39F82F"/>
    <w:multiLevelType w:val="singleLevel"/>
    <w:tmpl w:val="0C39F8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11">
    <w:nsid w:val="2EBC12BB"/>
    <w:multiLevelType w:val="singleLevel"/>
    <w:tmpl w:val="2EBC1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abstractNum w:abstractNumId="13">
    <w:nsid w:val="4B9A7A21"/>
    <w:multiLevelType w:val="singleLevel"/>
    <w:tmpl w:val="4B9A7A21"/>
    <w:lvl w:ilvl="0" w:tentative="0">
      <w:start w:val="1"/>
      <w:numFmt w:val="decimal"/>
      <w:suff w:val="nothing"/>
      <w:lvlText w:val="%1）"/>
      <w:lvlJc w:val="left"/>
      <w:pPr>
        <w:ind w:left="140" w:firstLine="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2"/>
  </w:num>
  <w:num w:numId="5">
    <w:abstractNumId w:val="0"/>
  </w:num>
  <w:num w:numId="6">
    <w:abstractNumId w:val="9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5"/>
  </w:num>
  <w:num w:numId="12">
    <w:abstractNumId w:val="8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FEA7CD7"/>
    <w:rsid w:val="00256DC5"/>
    <w:rsid w:val="00282BD8"/>
    <w:rsid w:val="005117AD"/>
    <w:rsid w:val="005659D2"/>
    <w:rsid w:val="00FF26F4"/>
    <w:rsid w:val="01166072"/>
    <w:rsid w:val="016075F7"/>
    <w:rsid w:val="022E027F"/>
    <w:rsid w:val="024E444B"/>
    <w:rsid w:val="026C7530"/>
    <w:rsid w:val="02D46311"/>
    <w:rsid w:val="03B3128C"/>
    <w:rsid w:val="03B64BFF"/>
    <w:rsid w:val="03D65101"/>
    <w:rsid w:val="040D4F60"/>
    <w:rsid w:val="0423712E"/>
    <w:rsid w:val="043F7BBD"/>
    <w:rsid w:val="057061EA"/>
    <w:rsid w:val="07D944D2"/>
    <w:rsid w:val="07E05125"/>
    <w:rsid w:val="08224B57"/>
    <w:rsid w:val="08323D96"/>
    <w:rsid w:val="090A360A"/>
    <w:rsid w:val="094C2972"/>
    <w:rsid w:val="0A09616F"/>
    <w:rsid w:val="0A5D2BF1"/>
    <w:rsid w:val="0AF03078"/>
    <w:rsid w:val="0B8966B9"/>
    <w:rsid w:val="0BC772B9"/>
    <w:rsid w:val="0C4176E6"/>
    <w:rsid w:val="0C505BC9"/>
    <w:rsid w:val="0D657C70"/>
    <w:rsid w:val="0E4B311A"/>
    <w:rsid w:val="0E6938B0"/>
    <w:rsid w:val="0F7F711A"/>
    <w:rsid w:val="0FC7273D"/>
    <w:rsid w:val="0FD7644E"/>
    <w:rsid w:val="12E723E3"/>
    <w:rsid w:val="12EC1659"/>
    <w:rsid w:val="13087A72"/>
    <w:rsid w:val="136876CA"/>
    <w:rsid w:val="14760B17"/>
    <w:rsid w:val="14F91774"/>
    <w:rsid w:val="154C1A67"/>
    <w:rsid w:val="15534962"/>
    <w:rsid w:val="15906837"/>
    <w:rsid w:val="15EA6DDC"/>
    <w:rsid w:val="17B711F6"/>
    <w:rsid w:val="17F23324"/>
    <w:rsid w:val="18CE4743"/>
    <w:rsid w:val="18FA57A6"/>
    <w:rsid w:val="19E71785"/>
    <w:rsid w:val="1A3578AB"/>
    <w:rsid w:val="1A6F16F9"/>
    <w:rsid w:val="1ABA34B1"/>
    <w:rsid w:val="1B070BAF"/>
    <w:rsid w:val="1B077B9A"/>
    <w:rsid w:val="1B881E53"/>
    <w:rsid w:val="1C221CE9"/>
    <w:rsid w:val="1C2C4754"/>
    <w:rsid w:val="1C873FFE"/>
    <w:rsid w:val="1E6A4918"/>
    <w:rsid w:val="1E9E5DD9"/>
    <w:rsid w:val="1EFF273F"/>
    <w:rsid w:val="1FA33251"/>
    <w:rsid w:val="1FBF0A42"/>
    <w:rsid w:val="1FEA7CD7"/>
    <w:rsid w:val="1FF42C65"/>
    <w:rsid w:val="205765BD"/>
    <w:rsid w:val="21210377"/>
    <w:rsid w:val="212B798D"/>
    <w:rsid w:val="220C1A25"/>
    <w:rsid w:val="22605BD5"/>
    <w:rsid w:val="23352742"/>
    <w:rsid w:val="2369509F"/>
    <w:rsid w:val="23746B52"/>
    <w:rsid w:val="23D92C3D"/>
    <w:rsid w:val="24083166"/>
    <w:rsid w:val="244D0C0D"/>
    <w:rsid w:val="260D1904"/>
    <w:rsid w:val="26265A6B"/>
    <w:rsid w:val="26267BBE"/>
    <w:rsid w:val="269B69A9"/>
    <w:rsid w:val="26E5451C"/>
    <w:rsid w:val="282A7DE1"/>
    <w:rsid w:val="28583EE1"/>
    <w:rsid w:val="29682341"/>
    <w:rsid w:val="29850EAE"/>
    <w:rsid w:val="29C95921"/>
    <w:rsid w:val="2A070884"/>
    <w:rsid w:val="2AD661A1"/>
    <w:rsid w:val="2B49288B"/>
    <w:rsid w:val="2C455599"/>
    <w:rsid w:val="2C9024FD"/>
    <w:rsid w:val="2CEB36BD"/>
    <w:rsid w:val="2D546B1F"/>
    <w:rsid w:val="2D631468"/>
    <w:rsid w:val="2D9F267E"/>
    <w:rsid w:val="2DA137B3"/>
    <w:rsid w:val="2E480081"/>
    <w:rsid w:val="2F286AB1"/>
    <w:rsid w:val="2F505133"/>
    <w:rsid w:val="2F671187"/>
    <w:rsid w:val="2F761AB5"/>
    <w:rsid w:val="2FDF3A19"/>
    <w:rsid w:val="3154180B"/>
    <w:rsid w:val="32B91FA4"/>
    <w:rsid w:val="32E83101"/>
    <w:rsid w:val="32EA287E"/>
    <w:rsid w:val="33406B51"/>
    <w:rsid w:val="3366351A"/>
    <w:rsid w:val="338B375B"/>
    <w:rsid w:val="33F34D1D"/>
    <w:rsid w:val="348D2076"/>
    <w:rsid w:val="35B84674"/>
    <w:rsid w:val="35E00299"/>
    <w:rsid w:val="35FB77A9"/>
    <w:rsid w:val="36DF4823"/>
    <w:rsid w:val="37FF61C0"/>
    <w:rsid w:val="38927E20"/>
    <w:rsid w:val="39B64BE3"/>
    <w:rsid w:val="3A7E722A"/>
    <w:rsid w:val="3ACA0A79"/>
    <w:rsid w:val="3B1057BF"/>
    <w:rsid w:val="3B6D2FA6"/>
    <w:rsid w:val="3D1B2B4F"/>
    <w:rsid w:val="3D254B32"/>
    <w:rsid w:val="3D814925"/>
    <w:rsid w:val="3DB8273C"/>
    <w:rsid w:val="3E2D0A5F"/>
    <w:rsid w:val="3E48642C"/>
    <w:rsid w:val="3F782E63"/>
    <w:rsid w:val="3F7D6C1D"/>
    <w:rsid w:val="3FD94A37"/>
    <w:rsid w:val="40911EE3"/>
    <w:rsid w:val="40E26D93"/>
    <w:rsid w:val="41140BC8"/>
    <w:rsid w:val="42122C99"/>
    <w:rsid w:val="425B4A3E"/>
    <w:rsid w:val="43926F31"/>
    <w:rsid w:val="43A53FF5"/>
    <w:rsid w:val="43CB168D"/>
    <w:rsid w:val="43F123DA"/>
    <w:rsid w:val="43F2769A"/>
    <w:rsid w:val="43F8110E"/>
    <w:rsid w:val="441C2B92"/>
    <w:rsid w:val="44B42992"/>
    <w:rsid w:val="45C30523"/>
    <w:rsid w:val="460810E1"/>
    <w:rsid w:val="46E26EC9"/>
    <w:rsid w:val="47632D17"/>
    <w:rsid w:val="47882F07"/>
    <w:rsid w:val="48030004"/>
    <w:rsid w:val="480561EF"/>
    <w:rsid w:val="48510FEF"/>
    <w:rsid w:val="48917993"/>
    <w:rsid w:val="48A815E4"/>
    <w:rsid w:val="493C518B"/>
    <w:rsid w:val="4B05560A"/>
    <w:rsid w:val="4B1E2E0F"/>
    <w:rsid w:val="4B86304D"/>
    <w:rsid w:val="4B8B0709"/>
    <w:rsid w:val="4C344439"/>
    <w:rsid w:val="4C5E79A5"/>
    <w:rsid w:val="4E40285F"/>
    <w:rsid w:val="4E47689E"/>
    <w:rsid w:val="4F443DEB"/>
    <w:rsid w:val="4F5365D5"/>
    <w:rsid w:val="4FDE68BC"/>
    <w:rsid w:val="4FFE310E"/>
    <w:rsid w:val="52306DE1"/>
    <w:rsid w:val="52347230"/>
    <w:rsid w:val="530F2C11"/>
    <w:rsid w:val="539947FC"/>
    <w:rsid w:val="53A243DD"/>
    <w:rsid w:val="53D66A7A"/>
    <w:rsid w:val="53E66B12"/>
    <w:rsid w:val="543215CD"/>
    <w:rsid w:val="54F61E2B"/>
    <w:rsid w:val="572A5575"/>
    <w:rsid w:val="578F332D"/>
    <w:rsid w:val="58571567"/>
    <w:rsid w:val="59D033D4"/>
    <w:rsid w:val="59E1255E"/>
    <w:rsid w:val="59F22309"/>
    <w:rsid w:val="5ABA6A37"/>
    <w:rsid w:val="5B345470"/>
    <w:rsid w:val="5BAC4672"/>
    <w:rsid w:val="5BC5146F"/>
    <w:rsid w:val="5BEA1FF4"/>
    <w:rsid w:val="5C165CD4"/>
    <w:rsid w:val="5C2477D7"/>
    <w:rsid w:val="5CA34B44"/>
    <w:rsid w:val="5D0376BF"/>
    <w:rsid w:val="5D6A7758"/>
    <w:rsid w:val="5DFA614F"/>
    <w:rsid w:val="5E8D5293"/>
    <w:rsid w:val="5F09549E"/>
    <w:rsid w:val="5F311774"/>
    <w:rsid w:val="5F6E0395"/>
    <w:rsid w:val="5FFD0C46"/>
    <w:rsid w:val="61164EC7"/>
    <w:rsid w:val="61AA7B04"/>
    <w:rsid w:val="62311B1C"/>
    <w:rsid w:val="62334026"/>
    <w:rsid w:val="62413B5D"/>
    <w:rsid w:val="637F2C3F"/>
    <w:rsid w:val="63C04060"/>
    <w:rsid w:val="63DA095C"/>
    <w:rsid w:val="63DF0D8E"/>
    <w:rsid w:val="645E6D04"/>
    <w:rsid w:val="64AD6D92"/>
    <w:rsid w:val="66281DC8"/>
    <w:rsid w:val="663B6169"/>
    <w:rsid w:val="666D3B8B"/>
    <w:rsid w:val="66B3026D"/>
    <w:rsid w:val="67787FD4"/>
    <w:rsid w:val="67A12195"/>
    <w:rsid w:val="67CD511C"/>
    <w:rsid w:val="67F3397D"/>
    <w:rsid w:val="67F7058E"/>
    <w:rsid w:val="6871307C"/>
    <w:rsid w:val="687617BD"/>
    <w:rsid w:val="68885C8C"/>
    <w:rsid w:val="68BC35D6"/>
    <w:rsid w:val="68E41DC8"/>
    <w:rsid w:val="69036D6D"/>
    <w:rsid w:val="69E203AF"/>
    <w:rsid w:val="6A1E307E"/>
    <w:rsid w:val="6B464BA6"/>
    <w:rsid w:val="6BF00AFD"/>
    <w:rsid w:val="6C951A00"/>
    <w:rsid w:val="6D38566E"/>
    <w:rsid w:val="6D8F7D0E"/>
    <w:rsid w:val="6E270D0A"/>
    <w:rsid w:val="6E392719"/>
    <w:rsid w:val="6E6D3716"/>
    <w:rsid w:val="6EAE2547"/>
    <w:rsid w:val="6EAF5ECE"/>
    <w:rsid w:val="6EB72135"/>
    <w:rsid w:val="6ED30A4E"/>
    <w:rsid w:val="6F4552C5"/>
    <w:rsid w:val="6FC26DD3"/>
    <w:rsid w:val="6FEF2B39"/>
    <w:rsid w:val="706B5927"/>
    <w:rsid w:val="708E7144"/>
    <w:rsid w:val="70974DEA"/>
    <w:rsid w:val="70E54314"/>
    <w:rsid w:val="712E57C8"/>
    <w:rsid w:val="72373462"/>
    <w:rsid w:val="73324FC4"/>
    <w:rsid w:val="73361538"/>
    <w:rsid w:val="748B693F"/>
    <w:rsid w:val="74DF3DC6"/>
    <w:rsid w:val="752A6BA8"/>
    <w:rsid w:val="755E148F"/>
    <w:rsid w:val="773E5EA8"/>
    <w:rsid w:val="7741603C"/>
    <w:rsid w:val="776B35EA"/>
    <w:rsid w:val="77E52DAC"/>
    <w:rsid w:val="78304396"/>
    <w:rsid w:val="7896344A"/>
    <w:rsid w:val="78A820FE"/>
    <w:rsid w:val="79803217"/>
    <w:rsid w:val="79EE05E0"/>
    <w:rsid w:val="7A473776"/>
    <w:rsid w:val="7AA41EB8"/>
    <w:rsid w:val="7B2E29A5"/>
    <w:rsid w:val="7C9267BB"/>
    <w:rsid w:val="7D1F4FB6"/>
    <w:rsid w:val="7D653A96"/>
    <w:rsid w:val="7DE52FCB"/>
    <w:rsid w:val="7E4A7B39"/>
    <w:rsid w:val="7F90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1315</Words>
  <Characters>7500</Characters>
  <Lines>62</Lines>
  <Paragraphs>17</Paragraphs>
  <TotalTime>7</TotalTime>
  <ScaleCrop>false</ScaleCrop>
  <LinksUpToDate>false</LinksUpToDate>
  <CharactersWithSpaces>8798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风</cp:lastModifiedBy>
  <dcterms:modified xsi:type="dcterms:W3CDTF">2020-12-03T02:40:57Z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